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ci3bd7xtw804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Purchasing policy template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v53rvfx614z8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1. Introduction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purchasing policy outlines the guidelines and procedures for making purchases on behalf of [organization name]. It is designed to ensure that all purchases are made in a consistent and ethical manner, aligning with the organization's goals and objectives.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yjza782sjk3v" w:id="2"/>
      <w:bookmarkEnd w:id="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2. Approved suppliers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following suppliers are approved to provide goods and services to [organization name]:</w:t>
        <w:br w:type="textWrapping"/>
        <w:t xml:space="preserve">[List of approved suppliers]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aad5x1bdlj7q" w:id="3"/>
      <w:bookmarkEnd w:id="3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3. Price negotiation guidelines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All purchases must be negotiated in accordance with the following guidelines:</w:t>
        <w:br w:type="textWrapping"/>
        <w:t xml:space="preserve">a. Market research: Conduct market research to determine fair market value before negotiating with suppliers.</w:t>
        <w:br w:type="textWrapping"/>
        <w:t xml:space="preserve">b. Supplier bids: Evaluate supplier bids based on factors such as quality, price, and delivery time.</w:t>
        <w:br w:type="textWrapping"/>
        <w:t xml:space="preserve">c. Contract terms and pricing: Negotiate contract terms and pricing that are favorable to the organization.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bvmmzjgrb1md" w:id="4"/>
      <w:bookmarkEnd w:id="4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4. Documentation requirements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following documentation is required for purchases:</w:t>
        <w:br w:type="textWrapping"/>
        <w:t xml:space="preserve">a. Purchase orders: All purchases must be made using a purchase order that includes the supplier's name, item(s) being purchased, quantity, price, and delivery date.</w:t>
        <w:br w:type="textWrapping"/>
        <w:t xml:space="preserve">b. Invoices: All invoices must be reviewed and approved by the appropriate department head before payment is made.</w:t>
        <w:br w:type="textWrapping"/>
        <w:t xml:space="preserve">c. Receipts: All receipts must be reconciled with the purchase order and invoice to ensure accuracy.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a2cx6fintvek" w:id="5"/>
      <w:bookmarkEnd w:id="5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5. Ethical guidelines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Employees must act in the best interest of the organization and avoid conflicts of interest or fraud. The following guidelines must be followed:</w:t>
        <w:br w:type="textWrapping"/>
        <w:t xml:space="preserve">a. Gifts and entertainment: Employees must not accept gifts or entertainment from suppliers that exceed $50 in value.</w:t>
        <w:br w:type="textWrapping"/>
        <w:t xml:space="preserve">b. Confidentiality: Employees must maintain the confidentiality of all supplier negotiations and not disclose any information that could harm the organization's interests.</w:t>
        <w:br w:type="textWrapping"/>
        <w:t xml:space="preserve">c. Personal interests: Employees must not purchase goods or services for personal use or benefit.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pki6lgp1z4sh" w:id="6"/>
      <w:bookmarkEnd w:id="6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6. Policy review and revision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policy will be reviewed and revised annually, or as needed, to ensure it remains relevant and effective. All revisions must be approved by the [insert appropriate person/department]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Disclaimer: This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policy template</w:t>
        </w:r>
      </w:hyperlink>
      <w:r w:rsidDel="00000000" w:rsidR="00000000" w:rsidRPr="00000000">
        <w:rPr>
          <w:i w:val="1"/>
          <w:rtl w:val="0"/>
        </w:rPr>
        <w:t xml:space="preserve"> is meant to provide general guidelines and should be used as a reference. It may not take into account all relevant local, state or federal laws and is not a legal document. Neither the author nor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Workable</w:t>
        </w:r>
      </w:hyperlink>
      <w:r w:rsidDel="00000000" w:rsidR="00000000" w:rsidRPr="00000000">
        <w:rPr>
          <w:i w:val="1"/>
          <w:rtl w:val="0"/>
        </w:rPr>
        <w:t xml:space="preserve"> will assume any legal liability that may arise from the use of this policy.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sources.workable.com/company-policies" TargetMode="External"/><Relationship Id="rId7" Type="http://schemas.openxmlformats.org/officeDocument/2006/relationships/hyperlink" Target="https://workab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