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2lz7wod0wret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Transgender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 Transgender Policy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bk34180aeo1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is designed to foster an inclusive and respectful work environment for all employees, regardless of gender identity or expression.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f5froaqw6pzf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Definitions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Gender Identity: An individual's internal understanding of their own gender.</w:t>
        <w:br w:type="textWrapping"/>
        <w:t xml:space="preserve">Transgender: A term describing individuals whose gender identity differs from the sex assigned to them at birth.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ap33sqd0i69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Name and pronoun usage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have the right to be addressed by their chosen name and pronouns. Any changes will be promptly reflected in official documents, email addresses, and name tags.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yl5es3khvyob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4. Accommodations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employees are entitled to use restrooms and locker rooms that align with their gender identity. Any employee seeking additional privacy will be provided with suitable alternatives.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up6f42qiwcj4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Reporting discrimination or harassment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Any employee facing discrimination or harassment due to their gender identity should report the incident to [specific HR personnel]. All reports will be treated with utmost confidentiality.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j46l3ylk0e2c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6. Training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 is committed to regular training sessions to educate staff on transgender issues and foster a culture of respect and understanding.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zhn8ntdnl3r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7. Policy review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will be reviewed annually to ensure its effectiveness and relevance.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color w:val="333e49"/>
          <w:highlight w:val="white"/>
          <w:rtl w:val="0"/>
        </w:rPr>
        <w:t xml:space="preserve">Disclaimer: This </w:t>
      </w:r>
      <w:hyperlink r:id="rId6">
        <w:r w:rsidDel="00000000" w:rsidR="00000000" w:rsidRPr="00000000">
          <w:rPr>
            <w:i w:val="1"/>
            <w:color w:val="00756a"/>
            <w:highlight w:val="white"/>
            <w:rtl w:val="0"/>
          </w:rPr>
          <w:t xml:space="preserve">policy template</w:t>
        </w:r>
      </w:hyperlink>
      <w:r w:rsidDel="00000000" w:rsidR="00000000" w:rsidRPr="00000000">
        <w:rPr>
          <w:i w:val="1"/>
          <w:color w:val="333e49"/>
          <w:highlight w:val="white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7">
        <w:r w:rsidDel="00000000" w:rsidR="00000000" w:rsidRPr="00000000">
          <w:rPr>
            <w:i w:val="1"/>
            <w:color w:val="00756a"/>
            <w:highlight w:val="white"/>
            <w:rtl w:val="0"/>
          </w:rPr>
          <w:t xml:space="preserve">Workable</w:t>
        </w:r>
      </w:hyperlink>
      <w:r w:rsidDel="00000000" w:rsidR="00000000" w:rsidRPr="00000000">
        <w:rPr>
          <w:i w:val="1"/>
          <w:color w:val="333e49"/>
          <w:highlight w:val="white"/>
          <w:rtl w:val="0"/>
        </w:rPr>
        <w:t xml:space="preserve"> will assume any legal liability that may arise from the use of this policy.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" TargetMode="External"/><Relationship Id="rId7" Type="http://schemas.openxmlformats.org/officeDocument/2006/relationships/hyperlink" Target="https://work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