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jv0mqx7l84u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Return to work policy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Company: [Organization Name]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a2al1ub858s8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Purpose and scope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is designed to provide a structured and supportive approach for employees of [Organization Name] returning to work after an extended absence.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j5bbxgsey696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Eligibility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employees returning after a medical or personal leave of more than 30 days are covered under this policy.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p77pc998cqq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3. Notification procedure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should inform the HR department at least two weeks before their intended return date. A medical fitness certificate, where applicable, must be submitted.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c5hf9vmplw22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4. Roles and responsibilities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HR: Oversee the return process, provide necessary resources, and ensure compliance.</w:t>
        <w:br w:type="textWrapping"/>
        <w:t xml:space="preserve">Managers: Collaborate with HR and provide support to the returning employee.</w:t>
        <w:br w:type="textWrapping"/>
        <w:t xml:space="preserve">Employee: Notify intent to return and engage in any required training or counseling.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q6rxfi858kd7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5. Adjustments and Accommodations: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 is committed to making necessary adjustments to ensure the successful reintegration of our employees. This might include modified work hours, ergonomic adjustments, or additional training.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t5e12av1ajgp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6. Review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will be reviewed annually to ensure its effectiveness and relevance.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Disclaimer: This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policy template</w:t>
        </w:r>
      </w:hyperlink>
      <w:r w:rsidDel="00000000" w:rsidR="00000000" w:rsidRPr="00000000">
        <w:rPr>
          <w:i w:val="1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company-policies" TargetMode="External"/><Relationship Id="rId7" Type="http://schemas.openxmlformats.org/officeDocument/2006/relationships/hyperlink" Target="https://work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