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4s55xfws5m0x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Interview reimbursement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Interview reimbursement policy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3xe7bqdtzqe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Brief &amp; purpose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 [Organization Name], we value the time and effort candidates invest in our interview process. This policy aims to ensure that candidates are fairly reimbursed for expenses incurred during their interviews with us.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1xq2qi8h2bqx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Scope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policy applies to all job candidates interviewing for eligible positions at [Organization Name].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uo7336j40v7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Eligible expenses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Travel: Flight tickets or train fares for the candidate.</w:t>
        <w:br w:type="textWrapping"/>
        <w:t xml:space="preserve">Accommodation: Hotel stays for the duration of the interview process.</w:t>
        <w:br w:type="textWrapping"/>
        <w:t xml:space="preserve">Meals: Daily meal expenses up to a specified limit.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2f815dmnd14c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Exclusions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Alcoholic beverages.</w:t>
        <w:br w:type="textWrapping"/>
        <w:t xml:space="preserve">Expenses for companions or family members.</w:t>
        <w:br w:type="textWrapping"/>
        <w:t xml:space="preserve">Personal expenses unrelated to the interview process.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rqh95omqoble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Submission process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Candidates should submit their claims with all relevant receipts within 15 days of the interview.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r683m6k1fqti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Approval and payment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Reimbursement claims will be reviewed by the HR department and processed within 30 days of submission.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lsemg78fomdh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Queries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any questions or clarifications regarding this policy, candidates can reach out to the HR department.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</w:t>
      </w:r>
      <w:hyperlink r:id="rId6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</w:t>
      </w:r>
      <w:hyperlink r:id="rId8">
        <w:r w:rsidDel="00000000" w:rsidR="00000000" w:rsidRPr="00000000">
          <w:rPr>
            <w:i w:val="1"/>
            <w:rtl w:val="0"/>
          </w:rPr>
          <w:t xml:space="preserve"> </w:t>
        </w:r>
      </w:hyperlink>
      <w:hyperlink r:id="rId9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kable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/" TargetMode="External"/><Relationship Id="rId7" Type="http://schemas.openxmlformats.org/officeDocument/2006/relationships/hyperlink" Target="https://resources.workable.com/company-policies/" TargetMode="External"/><Relationship Id="rId8" Type="http://schemas.openxmlformats.org/officeDocument/2006/relationships/hyperlink" Target="https://www.work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