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rneyo5eqvagu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Company advertising policy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Advertising Policy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Effective Date: [Insert Date]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z5ddh2o5nl2r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1. Introduction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Advertising Policy applies to all advertising and promotional activities undertaken by [organization name] across all media channels. It is designed to ensure that our advertising practices are legal, ethical, and consistent with our brand values.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k447adj9t6v3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2. Scope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applies to all employees, contractors, and partners involved in the creation, planning, and execution of advertisements on behalf of [organization name].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sr4df7u9hlg6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3. Ethical standards and Legal Compliance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advertising materials must: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 truthful and non-deceptive.</w:t>
        <w:br w:type="textWrapping"/>
        <w:t xml:space="preserve">Comply with all relevant laws and regulations.</w:t>
        <w:br w:type="textWrapping"/>
        <w:t xml:space="preserve">Respect privacy and intellectual property rights.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pc0y2tvdvpad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4. Brand slignment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Advertisements must: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Accurately reflect the values and messaging strategy of [organization name].</w:t>
        <w:br w:type="textWrapping"/>
        <w:t xml:space="preserve">Maintain consistency with the overall brand identity.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ww0zhbku9adw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5. Approval process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advertising content must be reviewed and approved by [designated approval authority].</w:t>
        <w:br w:type="textWrapping"/>
        <w:t xml:space="preserve">Any revisions to approved content must undergo a subsequent review.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u3on7pgql4zk" w:id="6"/>
      <w:bookmarkEnd w:id="6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6. Training and awareness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Regular training sessions will be conducted for staff involved in advertising.</w:t>
        <w:br w:type="textWrapping"/>
        <w:t xml:space="preserve">Updates on legal and ethical standards in advertising will be provided.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kckhec9hnenc" w:id="7"/>
      <w:bookmarkEnd w:id="7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7. Monitoring and compliance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Compliance with this policy will be regularly monitored.</w:t>
        <w:br w:type="textWrapping"/>
        <w:t xml:space="preserve">Violations of the policy will be addressed according to [organization name]'s disciplinary procedures.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38fl5zeizfcj" w:id="8"/>
      <w:bookmarkEnd w:id="8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8. Review and amendments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is subject to review and amendment to reflect changes in legal requirements and industry best practices.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Disclaimer: This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policy template</w:t>
        </w:r>
      </w:hyperlink>
      <w:r w:rsidDel="00000000" w:rsidR="00000000" w:rsidRPr="00000000">
        <w:rPr>
          <w:i w:val="1"/>
          <w:rtl w:val="0"/>
        </w:rPr>
        <w:t xml:space="preserve"> is meant to provide general guidelines and should be used as a reference. It may not take into account all relevant local, state or federal laws and is not a legal document. Neither the author nor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company-policies" TargetMode="External"/><Relationship Id="rId7" Type="http://schemas.openxmlformats.org/officeDocument/2006/relationships/hyperlink" Target="https://work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