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phgdvtmfb2hf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360 Feedback Policy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[company name] - 360 Feedback Policy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 &amp; Purpose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outlines the process and guidelines for conducting 360 feedback reviews at [company name] . The primary objective is to foster a culture of continuous learning and development by providing employees with a holistic view of their performance.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Scope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employees of [company name].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Policy guidelines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Objectives: The 360 feedback process aims to provide comprehensive feedback for individual development and growth.</w:t>
        <w:br w:type="textWrapping"/>
        <w:t xml:space="preserve">Selection of reviewers: Employees will receive feedback from peers, supervisors, direct reports, and any other relevant stakeholders.</w:t>
        <w:br w:type="textWrapping"/>
        <w:t xml:space="preserve">Feedback confidentiality: All feedback will remain anonymous to ensure honest and unbiased responses.</w:t>
        <w:br w:type="textWrapping"/>
        <w:t xml:space="preserve">Feedback implementation: The HR department will collate and analyze the feedback, which will then be used to create individual development plans.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Feedback process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HR will initiate the 360 feedback process annually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Employees will be informed about the process and timeline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Reviewers will be selected based on their interaction frequency with the employee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Feedback will be collected through an online survey platform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Post-analysis, individual feedback sessions will be scheduled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 action plan will be developed based on the feedback received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will be reviewed annually to ensure its effectiveness and relevance.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Disclaimer: This policy template is meant to provide general guidelines and should be used as a reference. It may not take into account all relevant local, state or federal laws and is not a legal document. Neither the author nor</w:t>
      </w:r>
      <w:hyperlink r:id="rId6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orkable.com" TargetMode="External"/><Relationship Id="rId7" Type="http://schemas.openxmlformats.org/officeDocument/2006/relationships/hyperlink" Target="https://www.work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