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rPr>
          <w:rStyle w:val="None"/>
          <w:b w:val="1"/>
          <w:bCs w:val="1"/>
        </w:rPr>
      </w:pPr>
      <w:bookmarkStart w:name="_yupz1qp77dx" w:id="0"/>
      <w:bookmarkEnd w:id="0"/>
      <w:r>
        <w:rPr>
          <w:rStyle w:val="None"/>
          <w:rFonts w:cs="Arial Unicode MS" w:eastAsia="Arial Unicode MS"/>
          <w:b w:val="1"/>
          <w:bCs w:val="1"/>
          <w:rtl w:val="0"/>
        </w:rPr>
        <w:t>J</w:t>
      </w: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>ury duty company policy</w:t>
      </w:r>
    </w:p>
    <w:p>
      <w:pPr>
        <w:pStyle w:val="Body"/>
      </w:pPr>
      <w:r>
        <w:rPr>
          <w:rStyle w:val="None"/>
          <w:rtl w:val="0"/>
          <w:lang w:val="en-US"/>
        </w:rPr>
        <w:t xml:space="preserve">This </w:t>
      </w:r>
      <w:r>
        <w:rPr>
          <w:rStyle w:val="None"/>
          <w:b w:val="1"/>
          <w:bCs w:val="1"/>
          <w:rtl w:val="0"/>
        </w:rPr>
        <w:t>Jury Duty policy sample</w:t>
      </w:r>
      <w:r>
        <w:rPr>
          <w:rStyle w:val="None"/>
          <w:rtl w:val="0"/>
          <w:lang w:val="en-US"/>
        </w:rPr>
        <w:t xml:space="preserve"> is ready to be tailored to your company</w:t>
      </w:r>
      <w:r>
        <w:rPr>
          <w:rStyle w:val="None"/>
          <w:rtl w:val="0"/>
        </w:rPr>
        <w:t>’</w:t>
      </w:r>
      <w:r>
        <w:rPr>
          <w:rStyle w:val="None"/>
          <w:rtl w:val="0"/>
          <w:lang w:val="en-US"/>
        </w:rPr>
        <w:t>s needs and should be considered a starting point for setting up your employment policies.</w:t>
      </w:r>
    </w:p>
    <w:p>
      <w:pPr>
        <w:pStyle w:val="Heading 2"/>
        <w:keepNext w:val="0"/>
        <w:keepLines w:val="0"/>
        <w:spacing w:after="80"/>
        <w:rPr>
          <w:rStyle w:val="None"/>
          <w:b w:val="1"/>
          <w:bCs w:val="1"/>
          <w:sz w:val="34"/>
          <w:szCs w:val="34"/>
        </w:rPr>
      </w:pPr>
      <w:bookmarkStart w:name="_g8ww2817sttd" w:id="1"/>
      <w:bookmarkEnd w:id="1"/>
      <w:r>
        <w:rPr>
          <w:rStyle w:val="None"/>
          <w:b w:val="1"/>
          <w:bCs w:val="1"/>
          <w:sz w:val="34"/>
          <w:szCs w:val="34"/>
          <w:rtl w:val="0"/>
        </w:rPr>
        <w:t>P</w:t>
      </w:r>
      <w:r>
        <w:rPr>
          <w:rStyle w:val="None"/>
          <w:b w:val="1"/>
          <w:bCs w:val="1"/>
          <w:sz w:val="34"/>
          <w:szCs w:val="34"/>
          <w:rtl w:val="0"/>
          <w:lang w:val="en-US"/>
        </w:rPr>
        <w:t>olicy brief &amp; purpose</w:t>
      </w:r>
    </w:p>
    <w:p>
      <w:pPr>
        <w:pStyle w:val="Body"/>
        <w:spacing w:before="240" w:after="240"/>
      </w:pPr>
      <w:r>
        <w:rPr>
          <w:rStyle w:val="None"/>
          <w:rtl w:val="0"/>
          <w:lang w:val="en-US"/>
        </w:rPr>
        <w:t xml:space="preserve">Our </w:t>
      </w:r>
      <w:r>
        <w:rPr>
          <w:rStyle w:val="None"/>
          <w:b w:val="1"/>
          <w:bCs w:val="1"/>
          <w:rtl w:val="0"/>
          <w:lang w:val="en-US"/>
        </w:rPr>
        <w:t>jury duty company policy</w:t>
      </w:r>
      <w:r>
        <w:rPr>
          <w:rStyle w:val="None"/>
          <w:rtl w:val="0"/>
          <w:lang w:val="en-US"/>
        </w:rPr>
        <w:t xml:space="preserve"> takes effect when an employee is called for jury duty. We want our employees to fulfil their civic duties, when they</w:t>
      </w:r>
      <w:r>
        <w:rPr>
          <w:rStyle w:val="None"/>
          <w:rtl w:val="0"/>
        </w:rPr>
        <w:t>’</w:t>
      </w:r>
      <w:r>
        <w:rPr>
          <w:rStyle w:val="None"/>
          <w:rtl w:val="0"/>
          <w:lang w:val="en-US"/>
        </w:rPr>
        <w:t>re summoned by courts, without loss of income. This policy will address jury duty pay as well as relevant procedures.</w:t>
      </w:r>
    </w:p>
    <w:p>
      <w:pPr>
        <w:pStyle w:val="Body"/>
        <w:spacing w:before="240" w:after="240"/>
      </w:pPr>
      <w:r>
        <w:rPr>
          <w:rStyle w:val="None"/>
          <w:rtl w:val="0"/>
          <w:lang w:val="en-US"/>
        </w:rPr>
        <w:t>We will follow all relevant federal and state laws.</w:t>
      </w:r>
    </w:p>
    <w:p>
      <w:pPr>
        <w:pStyle w:val="Heading 2"/>
        <w:keepNext w:val="0"/>
        <w:keepLines w:val="0"/>
        <w:spacing w:after="80"/>
        <w:rPr>
          <w:rStyle w:val="None"/>
          <w:b w:val="1"/>
          <w:bCs w:val="1"/>
          <w:sz w:val="34"/>
          <w:szCs w:val="34"/>
        </w:rPr>
      </w:pPr>
      <w:bookmarkStart w:name="_oy1uq94277ki" w:id="2"/>
      <w:bookmarkEnd w:id="2"/>
      <w:r>
        <w:rPr>
          <w:rStyle w:val="None"/>
          <w:b w:val="1"/>
          <w:bCs w:val="1"/>
          <w:sz w:val="34"/>
          <w:szCs w:val="34"/>
          <w:rtl w:val="0"/>
        </w:rPr>
        <w:t>S</w:t>
      </w:r>
      <w:r>
        <w:rPr>
          <w:rStyle w:val="None"/>
          <w:b w:val="1"/>
          <w:bCs w:val="1"/>
          <w:sz w:val="34"/>
          <w:szCs w:val="34"/>
          <w:rtl w:val="0"/>
          <w:lang w:val="it-IT"/>
        </w:rPr>
        <w:t>cope</w:t>
      </w:r>
    </w:p>
    <w:p>
      <w:pPr>
        <w:pStyle w:val="Body"/>
        <w:spacing w:before="240" w:after="240"/>
      </w:pPr>
      <w:r>
        <w:rPr>
          <w:rStyle w:val="None"/>
          <w:rtl w:val="0"/>
          <w:lang w:val="en-US"/>
        </w:rPr>
        <w:t>This policy refers to all employees who are called for jury duty.</w:t>
      </w:r>
    </w:p>
    <w:p>
      <w:pPr>
        <w:pStyle w:val="Heading 2"/>
        <w:keepNext w:val="0"/>
        <w:keepLines w:val="0"/>
        <w:spacing w:after="80"/>
        <w:rPr>
          <w:rStyle w:val="None"/>
          <w:b w:val="1"/>
          <w:bCs w:val="1"/>
          <w:sz w:val="34"/>
          <w:szCs w:val="34"/>
        </w:rPr>
      </w:pPr>
      <w:bookmarkStart w:name="_v6h5xt5d5f1q" w:id="3"/>
      <w:bookmarkEnd w:id="3"/>
      <w:r>
        <w:rPr>
          <w:rStyle w:val="None"/>
          <w:b w:val="1"/>
          <w:bCs w:val="1"/>
          <w:sz w:val="34"/>
          <w:szCs w:val="34"/>
          <w:rtl w:val="0"/>
        </w:rPr>
        <w:t>P</w:t>
      </w:r>
      <w:r>
        <w:rPr>
          <w:rStyle w:val="None"/>
          <w:b w:val="1"/>
          <w:bCs w:val="1"/>
          <w:sz w:val="34"/>
          <w:szCs w:val="34"/>
          <w:rtl w:val="0"/>
          <w:lang w:val="en-US"/>
        </w:rPr>
        <w:t>olicy elements</w:t>
      </w:r>
    </w:p>
    <w:p>
      <w:pPr>
        <w:pStyle w:val="Body"/>
        <w:spacing w:before="240" w:after="240"/>
      </w:pPr>
      <w:r>
        <w:rPr>
          <w:rStyle w:val="None"/>
          <w:rtl w:val="0"/>
          <w:lang w:val="en-US"/>
        </w:rPr>
        <w:t>If you are called for jury duty and you are an exempt employee, you can take [</w:t>
      </w:r>
      <w:r>
        <w:rPr>
          <w:rStyle w:val="None"/>
          <w:i w:val="1"/>
          <w:iCs w:val="1"/>
          <w:rtl w:val="0"/>
          <w:lang w:val="en-US"/>
        </w:rPr>
        <w:t>one day</w:t>
      </w:r>
      <w:r>
        <w:rPr>
          <w:rStyle w:val="None"/>
          <w:rtl w:val="0"/>
          <w:lang w:val="en-US"/>
        </w:rPr>
        <w:t>] off without deduction from your salary. If local or national law stipulates more days of paid jury duty leave, we will follow the law. Hourly employees may take [</w:t>
      </w:r>
      <w:r>
        <w:rPr>
          <w:rStyle w:val="None"/>
          <w:i w:val="1"/>
          <w:iCs w:val="1"/>
          <w:rtl w:val="0"/>
          <w:lang w:val="en-US"/>
        </w:rPr>
        <w:t>one unpaid day</w:t>
      </w:r>
      <w:r>
        <w:rPr>
          <w:rStyle w:val="None"/>
          <w:rtl w:val="0"/>
          <w:lang w:val="en-US"/>
        </w:rPr>
        <w:t>] off for jury duty. If local or national law obliges us to provide hourly employees with paid jury duty leave, we will follow the law.</w:t>
      </w:r>
    </w:p>
    <w:p>
      <w:pPr>
        <w:pStyle w:val="Body"/>
        <w:spacing w:before="240" w:after="240"/>
      </w:pPr>
      <w:r>
        <w:rPr>
          <w:rStyle w:val="None"/>
          <w:rtl w:val="0"/>
          <w:lang w:val="en-US"/>
        </w:rPr>
        <w:t>To keep good records, we ask you to bring us [</w:t>
      </w:r>
      <w:r>
        <w:rPr>
          <w:rStyle w:val="None"/>
          <w:i w:val="1"/>
          <w:iCs w:val="1"/>
          <w:rtl w:val="0"/>
          <w:lang w:val="en-US"/>
        </w:rPr>
        <w:t>a copy of your summons for jury duty and a document that proves you served</w:t>
      </w:r>
      <w:r>
        <w:rPr>
          <w:rStyle w:val="None"/>
          <w:rtl w:val="0"/>
        </w:rPr>
        <w:t>.]</w:t>
      </w:r>
    </w:p>
    <w:p>
      <w:pPr>
        <w:pStyle w:val="Body"/>
        <w:spacing w:before="240" w:after="240"/>
      </w:pPr>
      <w:r>
        <w:rPr>
          <w:rStyle w:val="None"/>
          <w:rtl w:val="0"/>
          <w:lang w:val="en-US"/>
        </w:rPr>
        <w:t>If you are summoned at an inconvenient time for company operations (e.g. when you are scheduled to attend a company conference,) we may send an official postponement request to the courts. HR and employees should discuss this as soon as possible.</w:t>
      </w:r>
    </w:p>
    <w:p>
      <w:pPr>
        <w:pStyle w:val="Body"/>
        <w:spacing w:before="240" w:after="240"/>
      </w:pPr>
      <w:r>
        <w:rPr>
          <w:rStyle w:val="None"/>
          <w:rtl w:val="0"/>
        </w:rPr>
        <w:t xml:space="preserve"> </w:t>
      </w:r>
    </w:p>
    <w:tbl>
      <w:tblPr>
        <w:tblW w:w="9275" w:type="dxa"/>
        <w:jc w:val="left"/>
        <w:tblInd w:w="103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75"/>
      </w:tblGrid>
      <w:tr>
        <w:tblPrEx>
          <w:shd w:val="clear" w:color="auto" w:fill="ced7e7"/>
        </w:tblPrEx>
        <w:trPr>
          <w:trHeight w:val="1350" w:hRule="atLeast"/>
        </w:trPr>
        <w:tc>
          <w:tcPr>
            <w:tcW w:type="dxa" w:w="92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i w:val="1"/>
                <w:iCs w:val="1"/>
                <w:rtl w:val="0"/>
                <w:lang w:val="en-US"/>
              </w:rPr>
              <w:t>Disclaimer: This policy template is meant to provide general guidelines and should be used as a reference. It may not take into account all relevant local, state or federal laws and is not a legal document. Neither the author nor Workable will assume any legal liability that may arise from the use of this policy.</w:t>
            </w:r>
          </w:p>
        </w:tc>
      </w:tr>
    </w:tbl>
    <w:p>
      <w:pPr>
        <w:pStyle w:val="Body"/>
        <w:widowControl w:val="0"/>
        <w:spacing w:before="240" w:after="240" w:line="240" w:lineRule="auto"/>
        <w:ind w:left="928" w:hanging="928"/>
      </w:pPr>
      <w:r/>
    </w:p>
    <w:sectPr>
      <w:headerReference w:type="default" r:id="rId4"/>
      <w:footerReference w:type="default" r:id="rId5"/>
      <w:pgSz w:w="12240" w:h="15840" w:orient="portrait"/>
      <w:pgMar w:top="1440" w:right="1080" w:bottom="1440" w:left="993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spacing w:before="200"/>
      <w:jc w:val="center"/>
    </w:pPr>
    <w:r>
      <w:rPr>
        <w:i w:val="1"/>
        <w:iCs w:val="1"/>
        <w:sz w:val="20"/>
        <w:szCs w:val="20"/>
        <w:rtl w:val="0"/>
        <w:lang w:val="en-US"/>
      </w:rPr>
      <w:t xml:space="preserve">Improve your hiring with Workable - get started with a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"https://www.workable.com/demo"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product tour</w:t>
    </w:r>
    <w:r>
      <w:rPr/>
      <w:fldChar w:fldCharType="end" w:fldLock="0"/>
    </w:r>
    <w:r>
      <w:rPr>
        <w:rStyle w:val="None"/>
        <w:i w:val="1"/>
        <w:iCs w:val="1"/>
        <w:sz w:val="20"/>
        <w:szCs w:val="20"/>
        <w:rtl w:val="0"/>
        <w:lang w:val="en-US"/>
      </w:rPr>
      <w:t xml:space="preserve"> or a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"https://www.workable.com/free-trial"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15-day free trial</w:t>
    </w:r>
    <w:r>
      <w:rPr/>
      <w:fldChar w:fldCharType="end" w:fldLock="0"/>
    </w:r>
    <w:r>
      <w:rPr>
        <w:rStyle w:val="None"/>
        <w:i w:val="1"/>
        <w:iCs w:val="1"/>
        <w:sz w:val="20"/>
        <w:szCs w:val="20"/>
        <w:rtl w:val="0"/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w:drawing>
        <wp:inline distT="0" distB="0" distL="0" distR="0">
          <wp:extent cx="6455665" cy="55880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5665" cy="558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b w:val="1"/>
      <w:bCs w:val="1"/>
      <w:i w:val="1"/>
      <w:iCs w:val="1"/>
      <w:outline w:val="0"/>
      <w:color w:val="3c8373"/>
      <w:sz w:val="20"/>
      <w:szCs w:val="20"/>
      <w:u w:val="single" w:color="3c8373"/>
      <w14:textFill>
        <w14:solidFill>
          <w14:srgbClr w14:val="3C8373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0" w:after="120" w:line="276" w:lineRule="auto"/>
      <w:ind w:left="0" w:right="0" w:firstLine="0"/>
      <w:jc w:val="left"/>
      <w:outlineLvl w:val="0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120" w:line="276" w:lineRule="auto"/>
      <w:ind w:left="0" w:right="0" w:firstLine="0"/>
      <w:jc w:val="left"/>
      <w:outlineLvl w:val="1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