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line="276" w:lineRule="auto"/>
        <w:rPr>
          <w:b w:val="1"/>
        </w:rPr>
      </w:pPr>
      <w:bookmarkStart w:colFirst="0" w:colLast="0" w:name="_nsq84znn9kus" w:id="0"/>
      <w:bookmarkEnd w:id="0"/>
      <w:r w:rsidDel="00000000" w:rsidR="00000000" w:rsidRPr="00000000">
        <w:rPr>
          <w:b w:val="1"/>
          <w:rtl w:val="0"/>
        </w:rPr>
        <w:t xml:space="preserve">Employee Cell Phone Policy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This </w:t>
      </w:r>
      <w:r w:rsidDel="00000000" w:rsidR="00000000" w:rsidRPr="00000000">
        <w:rPr>
          <w:b w:val="1"/>
          <w:rtl w:val="0"/>
        </w:rPr>
        <w:t xml:space="preserve">Employee Cell Phone Policy</w:t>
      </w:r>
      <w:r w:rsidDel="00000000" w:rsidR="00000000" w:rsidRPr="00000000">
        <w:rPr>
          <w:rtl w:val="0"/>
        </w:rPr>
        <w:t xml:space="preserve"> is ready to be tailored to your company’s needs and should be considered a starting point for setting up your employment policies. The cell phone company policy may also be referred to as a </w:t>
      </w:r>
      <w:r w:rsidDel="00000000" w:rsidR="00000000" w:rsidRPr="00000000">
        <w:rPr>
          <w:b w:val="1"/>
          <w:rtl w:val="0"/>
        </w:rPr>
        <w:t xml:space="preserve">no mobile phones at work policy </w:t>
      </w:r>
      <w:r w:rsidDel="00000000" w:rsidR="00000000" w:rsidRPr="00000000">
        <w:rPr>
          <w:rtl w:val="0"/>
        </w:rPr>
        <w:t xml:space="preserve">or a </w:t>
      </w:r>
      <w:r w:rsidDel="00000000" w:rsidR="00000000" w:rsidRPr="00000000">
        <w:rPr>
          <w:b w:val="1"/>
          <w:rtl w:val="0"/>
        </w:rPr>
        <w:t xml:space="preserve">bring your own device (BYOD) policy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sndj3n8k8rhu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Policy brief &amp; purpose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Our </w:t>
      </w:r>
      <w:r w:rsidDel="00000000" w:rsidR="00000000" w:rsidRPr="00000000">
        <w:rPr>
          <w:b w:val="1"/>
          <w:rtl w:val="0"/>
        </w:rPr>
        <w:t xml:space="preserve">employee cell phone policy</w:t>
      </w:r>
      <w:r w:rsidDel="00000000" w:rsidR="00000000" w:rsidRPr="00000000">
        <w:rPr>
          <w:rtl w:val="0"/>
        </w:rPr>
        <w:t xml:space="preserve"> outlines our guidelines for using cell phones at work.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recognize that cell phones (and smartphones especially) have become an integral part of everyday life. They may be a great asset if used correctly (for productivity apps, calendars, business calls etc.)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But, cell phones may also cause problems when used imprudently or excessively.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dubtziqbgi1d" w:id="2"/>
      <w:bookmarkEnd w:id="2"/>
      <w:r w:rsidDel="00000000" w:rsidR="00000000" w:rsidRPr="00000000">
        <w:rPr>
          <w:b w:val="1"/>
          <w:sz w:val="34"/>
          <w:szCs w:val="34"/>
          <w:rtl w:val="0"/>
        </w:rPr>
        <w:t xml:space="preserve">Scope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policy applies to all our employees.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vfpm31ig6d1t" w:id="3"/>
      <w:bookmarkEnd w:id="3"/>
      <w:r w:rsidDel="00000000" w:rsidR="00000000" w:rsidRPr="00000000">
        <w:rPr>
          <w:b w:val="1"/>
          <w:sz w:val="34"/>
          <w:szCs w:val="34"/>
          <w:rtl w:val="0"/>
        </w:rPr>
        <w:t xml:space="preserve">Policy elements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Despite their benefits, personal cell phones may cause problems in the workplace. Employees who use their cell phones excessively may: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Get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distracted from their work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Disturb colleagues by speaking on their phones.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Cause security issues from inappropriate use of company-issued equipment or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misuse of our company’s internet connection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Cause accidents when they illegally use their phones inside company vehicles or near areas where using phones is prohibited.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Our company expects employees to use their cellphones prudently during working hours.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 advise our employees to: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Use company-issued phones for business purposes only and preserve them in perfect condition.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Surf the internet, text and talk on the phone only for a few minutes per day.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Turn off or silence their phones when asked.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 won’t allow employees to: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Play games on the cell phone during working hours.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Use their phones for any reason while driving a company vehicle.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Use their cell phone’s camera or microphone to record confidential information.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Use their phones in areas where cell use is explicitly prohibited (e.g. laboratories.)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Speak on their phones within earshot of colleagues’ working space during working hours.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Download or upload inappropriate, illegal or obscene material on a company cell phone using a corporate internet connection.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wn063e5ly3gl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How to properly use cell phones in the workplace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Employees can benefit from using cell phones. They’re allowed to use their phones: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To make business calls.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To use productivity apps.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To check important messages.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To make brief personal calls away from the working space of colleagues.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Employees can use their phones during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breaks</w:t>
        </w:r>
      </w:hyperlink>
      <w:r w:rsidDel="00000000" w:rsidR="00000000" w:rsidRPr="00000000">
        <w:rPr>
          <w:rtl w:val="0"/>
        </w:rPr>
        <w:t xml:space="preserve"> or at lunch hour and while on a stationary vehicle.</w:t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xd6cd12xdcmb" w:id="5"/>
      <w:bookmarkEnd w:id="5"/>
      <w:r w:rsidDel="00000000" w:rsidR="00000000" w:rsidRPr="00000000">
        <w:rPr>
          <w:b w:val="1"/>
          <w:sz w:val="34"/>
          <w:szCs w:val="34"/>
          <w:rtl w:val="0"/>
        </w:rPr>
        <w:t xml:space="preserve">Disciplinary Consequences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Our company retains the right to monitor employees for excessive or inappropriate use of their cell phones. If an employee’s phone usage causes a decline in productivity or interferes with our operations, we’ll ban that employee from using their cell phones.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Employees may face severe disciplinary action up to and including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termination</w:t>
        </w:r>
      </w:hyperlink>
      <w:r w:rsidDel="00000000" w:rsidR="00000000" w:rsidRPr="00000000">
        <w:rPr>
          <w:rtl w:val="0"/>
        </w:rPr>
        <w:t xml:space="preserve">, in cases when they: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Cause a security breach.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Violate our</w:t>
      </w:r>
      <w:hyperlink r:id="rId14">
        <w:r w:rsidDel="00000000" w:rsidR="00000000" w:rsidRPr="00000000">
          <w:rPr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confidentiality policy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Cause an accident by recklessly using their phones.</w:t>
      </w:r>
    </w:p>
    <w:tbl>
      <w:tblPr>
        <w:tblStyle w:val="Table1"/>
        <w:tblW w:w="92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75"/>
        <w:tblGridChange w:id="0">
          <w:tblGrid>
            <w:gridCol w:w="9275"/>
          </w:tblGrid>
        </w:tblGridChange>
      </w:tblGrid>
      <w:tr>
        <w:trPr>
          <w:trHeight w:val="13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Disclaimer: This policy template is meant to provide general guidelines and should be used as a reference. It may not take into account all relevant local, state or federal laws and is not a legal document. Neither the author nor Workable will assume any legal liability that may arise from the use of this policy.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/>
      <w:pgMar w:bottom="1440" w:top="1440" w:left="993.5999999999999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before="200" w:line="276" w:lineRule="auto"/>
      <w:jc w:val="center"/>
      <w:rPr/>
    </w:pPr>
    <w:r w:rsidDel="00000000" w:rsidR="00000000" w:rsidRPr="00000000">
      <w:rPr>
        <w:i w:val="1"/>
        <w:sz w:val="20"/>
        <w:szCs w:val="20"/>
        <w:rtl w:val="0"/>
      </w:rPr>
      <w:t xml:space="preserve">Improve your hiring with Workable - get started with a </w:t>
    </w:r>
    <w:hyperlink r:id="rId1">
      <w:r w:rsidDel="00000000" w:rsidR="00000000" w:rsidRPr="00000000">
        <w:rPr>
          <w:b w:val="1"/>
          <w:i w:val="1"/>
          <w:color w:val="3c8373"/>
          <w:sz w:val="20"/>
          <w:szCs w:val="20"/>
          <w:u w:val="single"/>
          <w:rtl w:val="0"/>
        </w:rPr>
        <w:t xml:space="preserve">product tour</w:t>
      </w:r>
    </w:hyperlink>
    <w:r w:rsidDel="00000000" w:rsidR="00000000" w:rsidRPr="00000000">
      <w:rPr>
        <w:i w:val="1"/>
        <w:sz w:val="20"/>
        <w:szCs w:val="20"/>
        <w:rtl w:val="0"/>
      </w:rPr>
      <w:t xml:space="preserve"> or a </w:t>
    </w:r>
    <w:hyperlink r:id="rId2">
      <w:r w:rsidDel="00000000" w:rsidR="00000000" w:rsidRPr="00000000">
        <w:rPr>
          <w:b w:val="1"/>
          <w:i w:val="1"/>
          <w:color w:val="3c8373"/>
          <w:sz w:val="20"/>
          <w:szCs w:val="20"/>
          <w:u w:val="single"/>
          <w:rtl w:val="0"/>
        </w:rPr>
        <w:t xml:space="preserve">15-day free trial</w:t>
      </w:r>
    </w:hyperlink>
    <w:r w:rsidDel="00000000" w:rsidR="00000000" w:rsidRPr="00000000">
      <w:rPr>
        <w:i w:val="1"/>
        <w:sz w:val="20"/>
        <w:szCs w:val="20"/>
        <w:rtl w:val="0"/>
      </w:rPr>
      <w:t xml:space="preserve">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276" w:lineRule="auto"/>
      <w:rPr/>
    </w:pPr>
    <w:r w:rsidDel="00000000" w:rsidR="00000000" w:rsidRPr="00000000">
      <w:rPr/>
      <w:drawing>
        <wp:inline distB="114300" distT="114300" distL="114300" distR="114300">
          <wp:extent cx="6455664" cy="5588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55664" cy="55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esources.workable.com/employee-breaks-policy-template" TargetMode="External"/><Relationship Id="rId10" Type="http://schemas.openxmlformats.org/officeDocument/2006/relationships/hyperlink" Target="https://resources.workable.com/employee-breaks-policy-template" TargetMode="External"/><Relationship Id="rId13" Type="http://schemas.openxmlformats.org/officeDocument/2006/relationships/hyperlink" Target="https://resources.workable.com/separation-of-employment-company-policy" TargetMode="External"/><Relationship Id="rId12" Type="http://schemas.openxmlformats.org/officeDocument/2006/relationships/hyperlink" Target="https://resources.workable.com/separation-of-employment-company-polic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esources.workable.com/internet-usage-policy" TargetMode="External"/><Relationship Id="rId15" Type="http://schemas.openxmlformats.org/officeDocument/2006/relationships/hyperlink" Target="https://resources.workable.com/confidentiality-company-policy" TargetMode="External"/><Relationship Id="rId14" Type="http://schemas.openxmlformats.org/officeDocument/2006/relationships/hyperlink" Target="https://resources.workable.com/confidentiality-company-policy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resources.workable.com/social-media-company-policy" TargetMode="External"/><Relationship Id="rId7" Type="http://schemas.openxmlformats.org/officeDocument/2006/relationships/hyperlink" Target="https://resources.workable.com/social-media-company-policy" TargetMode="External"/><Relationship Id="rId8" Type="http://schemas.openxmlformats.org/officeDocument/2006/relationships/hyperlink" Target="http://resources.workable.com/internet-usage-policy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orkable.com/demo" TargetMode="External"/><Relationship Id="rId2" Type="http://schemas.openxmlformats.org/officeDocument/2006/relationships/hyperlink" Target="https://www.workable.com/free-tria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